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hint="eastAsia" w:ascii="宋体" w:hAnsi="宋体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MX系列三进三出（60-300KVA）模块化UPS产品介绍</w:t>
      </w:r>
    </w:p>
    <w:p>
      <w:pPr>
        <w:widowControl/>
        <w:jc w:val="center"/>
        <w:rPr>
          <w:rFonts w:ascii="微软雅黑" w:hAnsi="微软雅黑" w:eastAsia="微软雅黑" w:cs="宋体"/>
          <w:b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3243580</wp:posOffset>
            </wp:positionH>
            <wp:positionV relativeFrom="paragraph">
              <wp:posOffset>384810</wp:posOffset>
            </wp:positionV>
            <wp:extent cx="1668145" cy="3023235"/>
            <wp:effectExtent l="0" t="0" r="0" b="0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68145" cy="302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1405255</wp:posOffset>
            </wp:positionH>
            <wp:positionV relativeFrom="paragraph">
              <wp:posOffset>72390</wp:posOffset>
            </wp:positionV>
            <wp:extent cx="2158365" cy="3721100"/>
            <wp:effectExtent l="0" t="0" r="0" b="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58365" cy="3720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widowControl/>
        <w:jc w:val="left"/>
        <w:rPr>
          <w:rFonts w:ascii="微软雅黑" w:hAnsi="微软雅黑" w:eastAsia="微软雅黑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  <w:r>
        <w:drawing>
          <wp:anchor distT="0" distB="0" distL="114300" distR="114300" simplePos="0" relativeHeight="251653120" behindDoc="0" locked="0" layoutInCell="1" allowOverlap="1">
            <wp:simplePos x="0" y="0"/>
            <wp:positionH relativeFrom="column">
              <wp:posOffset>4808855</wp:posOffset>
            </wp:positionH>
            <wp:positionV relativeFrom="paragraph">
              <wp:posOffset>135255</wp:posOffset>
            </wp:positionV>
            <wp:extent cx="1576705" cy="2765425"/>
            <wp:effectExtent l="0" t="0" r="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76705" cy="276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widowControl/>
        <w:jc w:val="left"/>
        <w:rPr>
          <w:rFonts w:ascii="微软雅黑" w:hAnsi="微软雅黑" w:eastAsia="微软雅黑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</w:p>
    <w:p>
      <w:pPr>
        <w:widowControl/>
        <w:jc w:val="left"/>
        <w:rPr>
          <w:rFonts w:ascii="微软雅黑" w:hAnsi="微软雅黑" w:eastAsia="微软雅黑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</w:p>
    <w:p>
      <w:pPr>
        <w:widowControl/>
        <w:jc w:val="left"/>
        <w:rPr>
          <w:rFonts w:ascii="微软雅黑" w:hAnsi="微软雅黑" w:eastAsia="微软雅黑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</w:p>
    <w:p>
      <w:pPr>
        <w:widowControl/>
        <w:jc w:val="left"/>
        <w:rPr>
          <w:rFonts w:ascii="微软雅黑" w:hAnsi="微软雅黑" w:eastAsia="微软雅黑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  <w: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559435</wp:posOffset>
            </wp:positionH>
            <wp:positionV relativeFrom="paragraph">
              <wp:posOffset>137795</wp:posOffset>
            </wp:positionV>
            <wp:extent cx="1355725" cy="2045970"/>
            <wp:effectExtent l="0" t="0" r="0" b="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55414" cy="2046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widowControl/>
        <w:jc w:val="left"/>
        <w:rPr>
          <w:rFonts w:ascii="微软雅黑" w:hAnsi="微软雅黑" w:eastAsia="微软雅黑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</w:p>
    <w:p>
      <w:pPr>
        <w:widowControl/>
        <w:jc w:val="left"/>
        <w:rPr>
          <w:rFonts w:ascii="微软雅黑" w:hAnsi="微软雅黑" w:eastAsia="微软雅黑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</w:p>
    <w:p>
      <w:pPr>
        <w:widowControl/>
        <w:jc w:val="left"/>
        <w:rPr>
          <w:rFonts w:ascii="微软雅黑" w:hAnsi="微软雅黑" w:eastAsia="微软雅黑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</w:p>
    <w:p>
      <w:pPr>
        <w:widowControl/>
        <w:jc w:val="left"/>
        <w:rPr>
          <w:rFonts w:ascii="微软雅黑" w:hAnsi="微软雅黑" w:eastAsia="微软雅黑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</w:p>
    <w:p>
      <w:pPr>
        <w:widowControl/>
        <w:jc w:val="left"/>
        <w:rPr>
          <w:rFonts w:ascii="微软雅黑" w:hAnsi="微软雅黑" w:eastAsia="微软雅黑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</w:p>
    <w:p>
      <w:pPr>
        <w:widowControl/>
        <w:jc w:val="left"/>
        <w:rPr>
          <w:rFonts w:ascii="微软雅黑" w:hAnsi="微软雅黑" w:eastAsia="微软雅黑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</w:p>
    <w:p>
      <w:pPr>
        <w:widowControl/>
        <w:jc w:val="left"/>
        <w:rPr>
          <w:rFonts w:ascii="微软雅黑" w:hAnsi="微软雅黑" w:eastAsia="微软雅黑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</w:p>
    <w:p>
      <w:pPr>
        <w:widowControl/>
        <w:jc w:val="left"/>
        <w:rPr>
          <w:rFonts w:ascii="微软雅黑" w:hAnsi="微软雅黑" w:eastAsia="微软雅黑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</w:p>
    <w:p>
      <w:pPr>
        <w:widowControl/>
        <w:jc w:val="left"/>
        <w:rPr>
          <w:rFonts w:ascii="微软雅黑" w:hAnsi="微软雅黑" w:eastAsia="微软雅黑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</w:p>
    <w:p>
      <w:pPr>
        <w:widowControl/>
        <w:jc w:val="left"/>
        <w:rPr>
          <w:rFonts w:ascii="微软雅黑" w:hAnsi="微软雅黑" w:eastAsia="微软雅黑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</w:p>
    <w:p>
      <w:pPr>
        <w:widowControl/>
        <w:jc w:val="left"/>
        <w:rPr>
          <w:rFonts w:ascii="微软雅黑" w:hAnsi="微软雅黑" w:eastAsia="微软雅黑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</w:p>
    <w:p>
      <w:pPr>
        <w:widowControl/>
        <w:jc w:val="left"/>
        <w:rPr>
          <w:rFonts w:ascii="微软雅黑" w:hAnsi="微软雅黑" w:eastAsia="微软雅黑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</w:p>
    <w:p>
      <w:pPr>
        <w:widowControl/>
        <w:jc w:val="left"/>
        <w:rPr>
          <w:rFonts w:ascii="微软雅黑" w:hAnsi="微软雅黑" w:eastAsia="微软雅黑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jc w:val="left"/>
        <w:rPr>
          <w:rFonts w:hint="eastAsia" w:asciiTheme="minorEastAsia" w:hAnsiTheme="minorEastAsia" w:eastAsiaTheme="minorEastAsia" w:cstheme="minorBidi"/>
          <w:b/>
          <w:bCs/>
          <w:szCs w:val="24"/>
          <w:lang w:eastAsia="zh-CN"/>
        </w:rPr>
      </w:pPr>
      <w:r>
        <w:rPr>
          <w:rFonts w:hint="eastAsia" w:asciiTheme="minorEastAsia" w:hAnsiTheme="minorEastAsia" w:eastAsiaTheme="minorEastAsia" w:cstheme="minorBidi"/>
          <w:b/>
          <w:bCs/>
          <w:szCs w:val="24"/>
          <w:lang w:val="en-US" w:eastAsia="zh-CN"/>
        </w:rPr>
        <w:t>产品技术</w:t>
      </w:r>
      <w:r>
        <w:rPr>
          <w:rFonts w:hint="eastAsia" w:asciiTheme="minorEastAsia" w:hAnsiTheme="minorEastAsia" w:eastAsiaTheme="minorEastAsia" w:cstheme="minorBidi"/>
          <w:b/>
          <w:bCs/>
          <w:szCs w:val="24"/>
        </w:rPr>
        <w:t>特点</w:t>
      </w:r>
      <w:r>
        <w:rPr>
          <w:rFonts w:hint="eastAsia" w:asciiTheme="minorEastAsia" w:hAnsiTheme="minorEastAsia" w:eastAsiaTheme="minorEastAsia" w:cstheme="minorBidi"/>
          <w:b/>
          <w:bCs/>
          <w:szCs w:val="24"/>
          <w:lang w:eastAsia="zh-CN"/>
        </w:rPr>
        <w:t>：</w:t>
      </w:r>
    </w:p>
    <w:p>
      <w:pPr>
        <w:spacing w:line="360" w:lineRule="auto"/>
        <w:jc w:val="left"/>
        <w:rPr>
          <w:rFonts w:hint="eastAsia" w:asciiTheme="minorEastAsia" w:hAnsiTheme="minorEastAsia" w:eastAsiaTheme="minorEastAsia" w:cstheme="minorBidi"/>
          <w:b/>
          <w:bCs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Bidi"/>
          <w:b/>
          <w:bCs/>
          <w:szCs w:val="24"/>
          <w:lang w:val="en-US" w:eastAsia="zh-CN"/>
        </w:rPr>
        <w:t>1、模块化设计，方便扩容。</w:t>
      </w:r>
    </w:p>
    <w:p>
      <w:pPr>
        <w:spacing w:line="360" w:lineRule="auto"/>
        <w:jc w:val="left"/>
        <w:rPr>
          <w:rFonts w:hint="eastAsia" w:asciiTheme="minorEastAsia" w:hAnsiTheme="minorEastAsia" w:eastAsiaTheme="minorEastAsia" w:cstheme="minorBidi"/>
          <w:b/>
          <w:bCs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Bidi"/>
          <w:b/>
          <w:bCs/>
          <w:szCs w:val="24"/>
          <w:lang w:val="en-US" w:eastAsia="zh-CN"/>
        </w:rPr>
        <w:t>2、高功率因数，60-200KVA（20KVA模块）主机输出功率因数0.9；180-300KVA（30KVA模块）主机输出功率因数1。</w:t>
      </w:r>
    </w:p>
    <w:p>
      <w:pPr>
        <w:spacing w:line="360" w:lineRule="auto"/>
        <w:jc w:val="left"/>
        <w:rPr>
          <w:rFonts w:hint="eastAsia" w:asciiTheme="minorEastAsia" w:hAnsiTheme="minorEastAsia" w:eastAsiaTheme="minorEastAsia" w:cstheme="minorBidi"/>
          <w:b/>
          <w:bCs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Bidi"/>
          <w:b/>
          <w:bCs/>
          <w:szCs w:val="24"/>
          <w:lang w:val="en-US" w:eastAsia="zh-CN"/>
        </w:rPr>
        <w:t>3、N+1或N+R并联冗余应用设计，增加系统灵活性、稳定性和安全性。</w:t>
      </w:r>
    </w:p>
    <w:p>
      <w:pPr>
        <w:spacing w:line="360" w:lineRule="auto"/>
        <w:jc w:val="left"/>
        <w:rPr>
          <w:rFonts w:hint="eastAsia" w:asciiTheme="minorEastAsia" w:hAnsiTheme="minorEastAsia" w:eastAsiaTheme="minorEastAsia" w:cstheme="minorBidi"/>
          <w:b/>
          <w:bCs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Bidi"/>
          <w:b/>
          <w:bCs/>
          <w:szCs w:val="24"/>
          <w:lang w:val="en-US" w:eastAsia="zh-CN"/>
        </w:rPr>
        <w:t>4、全模块热插拔、“黑匣子”记录提示、系统自老化等功能易于更新维护，可降低售后维修费。</w:t>
      </w:r>
    </w:p>
    <w:p>
      <w:pPr>
        <w:spacing w:line="360" w:lineRule="auto"/>
        <w:jc w:val="left"/>
        <w:rPr>
          <w:rFonts w:hint="eastAsia" w:asciiTheme="minorEastAsia" w:hAnsiTheme="minorEastAsia" w:eastAsiaTheme="minorEastAsia" w:cstheme="minorBidi"/>
          <w:b/>
          <w:bCs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Bidi"/>
          <w:b/>
          <w:bCs/>
          <w:szCs w:val="24"/>
          <w:lang w:val="en-US" w:eastAsia="zh-CN"/>
        </w:rPr>
        <w:t>5、智能化电池管理，可以提供功率容量20%的充电能力。</w:t>
      </w:r>
    </w:p>
    <w:p>
      <w:pPr>
        <w:spacing w:line="360" w:lineRule="auto"/>
        <w:jc w:val="left"/>
        <w:rPr>
          <w:rFonts w:hint="eastAsia" w:asciiTheme="minorEastAsia" w:hAnsiTheme="minorEastAsia" w:eastAsiaTheme="minorEastAsia" w:cstheme="minorBidi"/>
          <w:b/>
          <w:bCs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Bidi"/>
          <w:b/>
          <w:bCs/>
          <w:szCs w:val="24"/>
          <w:lang w:val="en-US" w:eastAsia="zh-CN"/>
        </w:rPr>
        <w:t>6、友好的人机界面，信息量丰富。 60-200KVA（20KVA模块）主机配置5.7英寸LCD触摸显示屏，180-300KVA（30KVA模块）主机配置10.4英寸彩色LCD触摸显示屏。</w:t>
      </w:r>
    </w:p>
    <w:p>
      <w:pPr>
        <w:spacing w:line="360" w:lineRule="auto"/>
        <w:jc w:val="left"/>
        <w:rPr>
          <w:rFonts w:hint="eastAsia" w:asciiTheme="minorEastAsia" w:hAnsiTheme="minorEastAsia" w:eastAsiaTheme="minorEastAsia" w:cstheme="minorBidi"/>
          <w:b/>
          <w:bCs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Bidi"/>
          <w:b/>
          <w:bCs/>
          <w:szCs w:val="24"/>
          <w:lang w:val="en-US" w:eastAsia="zh-CN"/>
        </w:rPr>
        <w:t>7、智能轮换休眠保证UPS高效运行，真正实现绿色节能。</w:t>
      </w:r>
    </w:p>
    <w:p>
      <w:pPr>
        <w:widowControl/>
        <w:jc w:val="left"/>
        <w:rPr>
          <w:rFonts w:ascii="微软雅黑" w:hAnsi="微软雅黑" w:eastAsia="微软雅黑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widowControl/>
        <w:jc w:val="left"/>
        <w:rPr>
          <w:rFonts w:ascii="微软雅黑" w:hAnsi="微软雅黑" w:eastAsia="微软雅黑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宋体"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3602355</wp:posOffset>
            </wp:positionH>
            <wp:positionV relativeFrom="paragraph">
              <wp:posOffset>85090</wp:posOffset>
            </wp:positionV>
            <wp:extent cx="2195195" cy="1352550"/>
            <wp:effectExtent l="0" t="0" r="0" b="0"/>
            <wp:wrapNone/>
            <wp:docPr id="58" name="图片 57" descr="30K模块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7" descr="30K模块1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5195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452120</wp:posOffset>
            </wp:positionH>
            <wp:positionV relativeFrom="paragraph">
              <wp:posOffset>247650</wp:posOffset>
            </wp:positionV>
            <wp:extent cx="2273935" cy="962025"/>
            <wp:effectExtent l="0" t="0" r="0" b="0"/>
            <wp:wrapNone/>
            <wp:docPr id="29" name="图片 28" descr="PM 模块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8" descr="PM 模块.JP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3877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widowControl/>
        <w:jc w:val="left"/>
        <w:rPr>
          <w:rFonts w:ascii="微软雅黑" w:hAnsi="微软雅黑" w:eastAsia="微软雅黑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widowControl/>
        <w:jc w:val="left"/>
        <w:rPr>
          <w:rFonts w:ascii="微软雅黑" w:hAnsi="微软雅黑" w:eastAsia="微软雅黑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b/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微软雅黑" w:hAnsi="微软雅黑" w:eastAsia="微软雅黑"/>
          <w:b/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                                                 </w:t>
      </w:r>
    </w:p>
    <w:p>
      <w:pPr>
        <w:ind w:firstLine="1476" w:firstLineChars="700"/>
        <w:rPr>
          <w:rFonts w:ascii="微软雅黑" w:hAnsi="微软雅黑" w:eastAsia="微软雅黑"/>
          <w:sz w:val="24"/>
          <w:szCs w:val="24"/>
        </w:rPr>
      </w:pPr>
      <w:r>
        <w:rPr>
          <w:rFonts w:hint="eastAsia" w:asciiTheme="minorEastAsia" w:hAnsiTheme="minorEastAsia" w:eastAsiaTheme="minorEastAsia" w:cstheme="minorBidi"/>
          <w:b/>
          <w:bCs/>
          <w:szCs w:val="24"/>
          <w:lang w:val="en-US" w:eastAsia="zh-CN"/>
        </w:rPr>
        <w:t xml:space="preserve">20kVA功率模块 </w:t>
      </w:r>
      <w:r>
        <w:rPr>
          <w:rFonts w:ascii="微软雅黑" w:hAnsi="微软雅黑" w:eastAsia="微软雅黑"/>
          <w:sz w:val="24"/>
          <w:szCs w:val="24"/>
        </w:rPr>
        <w:t xml:space="preserve">                             </w:t>
      </w:r>
      <w:r>
        <w:rPr>
          <w:rFonts w:hint="eastAsia" w:ascii="宋体" w:hAnsi="宋体" w:eastAsia="宋体" w:cs="宋体"/>
          <w:b/>
          <w:bCs/>
          <w:sz w:val="20"/>
          <w:szCs w:val="20"/>
        </w:rPr>
        <w:t xml:space="preserve">  3</w:t>
      </w:r>
      <w:r>
        <w:rPr>
          <w:rFonts w:hint="eastAsia" w:ascii="宋体" w:hAnsi="宋体" w:eastAsia="宋体" w:cs="宋体"/>
          <w:b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0kV</w:t>
      </w:r>
      <w:r>
        <w:rPr>
          <w:rFonts w:hint="eastAsia" w:ascii="宋体" w:hAnsi="宋体" w:eastAsia="宋体" w:cs="宋体"/>
          <w:b/>
          <w:bCs/>
          <w:sz w:val="20"/>
          <w:szCs w:val="20"/>
        </w:rPr>
        <w:t>A功率</w:t>
      </w:r>
      <w:r>
        <w:rPr>
          <w:rFonts w:hint="eastAsia" w:asciiTheme="minorEastAsia" w:hAnsiTheme="minorEastAsia" w:eastAsiaTheme="minorEastAsia" w:cstheme="minorBidi"/>
          <w:b/>
          <w:bCs/>
          <w:szCs w:val="24"/>
          <w:lang w:val="en-US" w:eastAsia="zh-CN"/>
        </w:rPr>
        <w:t>模块</w:t>
      </w:r>
    </w:p>
    <w:p>
      <w:pPr>
        <w:widowControl/>
        <w:jc w:val="left"/>
        <w:rPr>
          <w:rFonts w:hint="eastAsia" w:ascii="微软雅黑" w:hAnsi="微软雅黑" w:eastAsia="微软雅黑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widowControl/>
        <w:jc w:val="left"/>
        <w:rPr>
          <w:rFonts w:hint="eastAsia" w:ascii="微软雅黑" w:hAnsi="微软雅黑" w:eastAsia="微软雅黑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widowControl/>
        <w:jc w:val="left"/>
        <w:rPr>
          <w:rFonts w:hint="eastAsia" w:ascii="微软雅黑" w:hAnsi="微软雅黑" w:eastAsia="微软雅黑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jc w:val="left"/>
        <w:rPr>
          <w:rFonts w:hint="eastAsia" w:asciiTheme="minorEastAsia" w:hAnsiTheme="minorEastAsia" w:eastAsiaTheme="minorEastAsia" w:cstheme="minorBidi"/>
          <w:b/>
          <w:bCs/>
          <w:sz w:val="20"/>
          <w:szCs w:val="20"/>
          <w:lang w:val="en-US" w:eastAsia="zh-CN"/>
        </w:rPr>
      </w:pPr>
      <w:r>
        <w:rPr>
          <w:rFonts w:hint="eastAsia" w:asciiTheme="minorEastAsia" w:hAnsiTheme="minorEastAsia" w:eastAsiaTheme="minorEastAsia" w:cstheme="minorBidi"/>
          <w:b/>
          <w:bCs/>
          <w:sz w:val="20"/>
          <w:szCs w:val="20"/>
          <w:lang w:val="en-US" w:eastAsia="zh-CN"/>
        </w:rPr>
        <w:t>产品技术参数表(1)：</w:t>
      </w:r>
    </w:p>
    <w:tbl>
      <w:tblPr>
        <w:tblStyle w:val="5"/>
        <w:tblW w:w="10930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9"/>
        <w:gridCol w:w="1867"/>
        <w:gridCol w:w="2811"/>
        <w:gridCol w:w="2410"/>
        <w:gridCol w:w="26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016" w:type="dxa"/>
            <w:gridSpan w:val="2"/>
            <w:shd w:val="clear" w:color="000000" w:fill="00B050"/>
            <w:vAlign w:val="center"/>
          </w:tcPr>
          <w:p>
            <w:pPr>
              <w:widowControl/>
              <w:ind w:firstLine="1124" w:firstLineChars="700"/>
              <w:jc w:val="both"/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 w:colFirst="0" w:colLast="4"/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规格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型号</w:t>
            </w:r>
          </w:p>
        </w:tc>
        <w:tc>
          <w:tcPr>
            <w:tcW w:w="2811" w:type="dxa"/>
            <w:shd w:val="clear" w:color="000000" w:fill="00B05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MX</w:t>
            </w:r>
            <w:r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 xml:space="preserve">3360/20 </w:t>
            </w:r>
          </w:p>
        </w:tc>
        <w:tc>
          <w:tcPr>
            <w:tcW w:w="2410" w:type="dxa"/>
            <w:shd w:val="clear" w:color="000000" w:fill="00B05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MX</w:t>
            </w:r>
            <w:r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33120/20</w:t>
            </w:r>
          </w:p>
        </w:tc>
        <w:tc>
          <w:tcPr>
            <w:tcW w:w="2693" w:type="dxa"/>
            <w:shd w:val="clear" w:color="000000" w:fill="00B05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MX</w:t>
            </w:r>
            <w:r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33200/20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016" w:type="dxa"/>
            <w:gridSpan w:val="2"/>
            <w:shd w:val="clear" w:color="auto" w:fill="BEBEBE" w:themeFill="background1" w:themeFillShade="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系统容量</w:t>
            </w:r>
          </w:p>
        </w:tc>
        <w:tc>
          <w:tcPr>
            <w:tcW w:w="2811" w:type="dxa"/>
            <w:shd w:val="clear" w:color="auto" w:fill="BEBEBE" w:themeFill="background1" w:themeFillShade="BF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60kVA</w:t>
            </w:r>
          </w:p>
        </w:tc>
        <w:tc>
          <w:tcPr>
            <w:tcW w:w="2410" w:type="dxa"/>
            <w:shd w:val="clear" w:color="auto" w:fill="BEBEBE" w:themeFill="background1" w:themeFillShade="BF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120kVA</w:t>
            </w:r>
          </w:p>
        </w:tc>
        <w:tc>
          <w:tcPr>
            <w:tcW w:w="2693" w:type="dxa"/>
            <w:shd w:val="clear" w:color="auto" w:fill="BEBEBE" w:themeFill="background1" w:themeFillShade="BF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200kVA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149" w:type="dxa"/>
            <w:vMerge w:val="restart"/>
            <w:shd w:val="clear" w:color="000000" w:fill="BFBFBF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主路输入</w:t>
            </w:r>
          </w:p>
        </w:tc>
        <w:tc>
          <w:tcPr>
            <w:tcW w:w="1867" w:type="dxa"/>
            <w:shd w:val="clear" w:color="000000" w:fill="BFBFBF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输入配线</w:t>
            </w:r>
          </w:p>
        </w:tc>
        <w:tc>
          <w:tcPr>
            <w:tcW w:w="7914" w:type="dxa"/>
            <w:gridSpan w:val="3"/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3相+N线+PE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149" w:type="dxa"/>
            <w:vMerge w:val="continue"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67" w:type="dxa"/>
            <w:shd w:val="clear" w:color="000000" w:fill="BFBFBF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输入电压</w:t>
            </w:r>
          </w:p>
        </w:tc>
        <w:tc>
          <w:tcPr>
            <w:tcW w:w="7914" w:type="dxa"/>
            <w:gridSpan w:val="3"/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380/400/415VAC（线电压）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49" w:type="dxa"/>
            <w:vMerge w:val="continue"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67" w:type="dxa"/>
            <w:shd w:val="clear" w:color="000000" w:fill="BFBFBF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输入频率</w:t>
            </w:r>
          </w:p>
        </w:tc>
        <w:tc>
          <w:tcPr>
            <w:tcW w:w="7914" w:type="dxa"/>
            <w:gridSpan w:val="3"/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50/60Hz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49" w:type="dxa"/>
            <w:vMerge w:val="continue"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67" w:type="dxa"/>
            <w:shd w:val="clear" w:color="000000" w:fill="BFBFBF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功率因数</w:t>
            </w:r>
          </w:p>
        </w:tc>
        <w:tc>
          <w:tcPr>
            <w:tcW w:w="7914" w:type="dxa"/>
            <w:gridSpan w:val="3"/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&gt;0.99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49" w:type="dxa"/>
            <w:vMerge w:val="continue"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67" w:type="dxa"/>
            <w:shd w:val="clear" w:color="000000" w:fill="BFBFBF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电流畸变率</w:t>
            </w:r>
          </w:p>
        </w:tc>
        <w:tc>
          <w:tcPr>
            <w:tcW w:w="7914" w:type="dxa"/>
            <w:gridSpan w:val="3"/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THDi&lt;3%（100%线性负载）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49" w:type="dxa"/>
            <w:vMerge w:val="continue"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67" w:type="dxa"/>
            <w:shd w:val="clear" w:color="000000" w:fill="BFBFBF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电压范围</w:t>
            </w:r>
          </w:p>
        </w:tc>
        <w:tc>
          <w:tcPr>
            <w:tcW w:w="7914" w:type="dxa"/>
            <w:gridSpan w:val="3"/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304～478VAC（线电压）满载 304V～228VAC (线电压)负载从100%到75%之间线性降额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49" w:type="dxa"/>
            <w:vMerge w:val="continue"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67" w:type="dxa"/>
            <w:shd w:val="clear" w:color="000000" w:fill="BFBFBF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频率范围</w:t>
            </w:r>
          </w:p>
        </w:tc>
        <w:tc>
          <w:tcPr>
            <w:tcW w:w="7914" w:type="dxa"/>
            <w:gridSpan w:val="3"/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40-70Hz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49" w:type="dxa"/>
            <w:vMerge w:val="restart"/>
            <w:shd w:val="clear" w:color="000000" w:fill="BFBFBF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电池</w:t>
            </w:r>
          </w:p>
        </w:tc>
        <w:tc>
          <w:tcPr>
            <w:tcW w:w="1867" w:type="dxa"/>
            <w:shd w:val="clear" w:color="000000" w:fill="BFBFBF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电池电压</w:t>
            </w:r>
          </w:p>
        </w:tc>
        <w:tc>
          <w:tcPr>
            <w:tcW w:w="7914" w:type="dxa"/>
            <w:gridSpan w:val="3"/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±240VDC（32-44节可设置）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49" w:type="dxa"/>
            <w:vMerge w:val="continue"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67" w:type="dxa"/>
            <w:shd w:val="clear" w:color="000000" w:fill="BFBFBF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充电功率</w:t>
            </w:r>
          </w:p>
        </w:tc>
        <w:tc>
          <w:tcPr>
            <w:tcW w:w="7914" w:type="dxa"/>
            <w:gridSpan w:val="3"/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20%*有功功率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49" w:type="dxa"/>
            <w:vMerge w:val="continue"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67" w:type="dxa"/>
            <w:shd w:val="clear" w:color="000000" w:fill="BFBFBF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充电电压精度</w:t>
            </w:r>
          </w:p>
        </w:tc>
        <w:tc>
          <w:tcPr>
            <w:tcW w:w="7914" w:type="dxa"/>
            <w:gridSpan w:val="3"/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±1%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49" w:type="dxa"/>
            <w:vMerge w:val="restart"/>
            <w:shd w:val="clear" w:color="000000" w:fill="BFBFBF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旁路</w:t>
            </w:r>
          </w:p>
        </w:tc>
        <w:tc>
          <w:tcPr>
            <w:tcW w:w="1867" w:type="dxa"/>
            <w:shd w:val="clear" w:color="000000" w:fill="BFBFBF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旁路电压</w:t>
            </w:r>
          </w:p>
        </w:tc>
        <w:tc>
          <w:tcPr>
            <w:tcW w:w="7914" w:type="dxa"/>
            <w:gridSpan w:val="3"/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380/400/415VAC（线电压）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49" w:type="dxa"/>
            <w:vMerge w:val="continue"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67" w:type="dxa"/>
            <w:shd w:val="clear" w:color="000000" w:fill="BFBFBF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电压范围</w:t>
            </w:r>
          </w:p>
        </w:tc>
        <w:tc>
          <w:tcPr>
            <w:tcW w:w="7914" w:type="dxa"/>
            <w:gridSpan w:val="3"/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-20%～+15%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49" w:type="dxa"/>
            <w:vMerge w:val="continue"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67" w:type="dxa"/>
            <w:shd w:val="clear" w:color="000000" w:fill="BFBFBF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旁路频率范围</w:t>
            </w:r>
          </w:p>
        </w:tc>
        <w:tc>
          <w:tcPr>
            <w:tcW w:w="7914" w:type="dxa"/>
            <w:gridSpan w:val="3"/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50/60Hz（额定功率）±1Hz，±3Hz，±5Hz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49" w:type="dxa"/>
            <w:vMerge w:val="restart"/>
            <w:shd w:val="clear" w:color="000000" w:fill="BFBFBF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输出</w:t>
            </w:r>
          </w:p>
        </w:tc>
        <w:tc>
          <w:tcPr>
            <w:tcW w:w="1867" w:type="dxa"/>
            <w:shd w:val="clear" w:color="000000" w:fill="BFBFBF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额定输出电压</w:t>
            </w:r>
          </w:p>
        </w:tc>
        <w:tc>
          <w:tcPr>
            <w:tcW w:w="7914" w:type="dxa"/>
            <w:gridSpan w:val="3"/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380/400/415VAC（线电压）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49" w:type="dxa"/>
            <w:vMerge w:val="continue"/>
            <w:shd w:val="clear" w:color="000000" w:fill="BFBFBF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67" w:type="dxa"/>
            <w:shd w:val="clear" w:color="000000" w:fill="BFBFBF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额定频率</w:t>
            </w:r>
          </w:p>
        </w:tc>
        <w:tc>
          <w:tcPr>
            <w:tcW w:w="7914" w:type="dxa"/>
            <w:gridSpan w:val="3"/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50/60Hz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49" w:type="dxa"/>
            <w:vMerge w:val="continue"/>
            <w:shd w:val="clear" w:color="000000" w:fill="BFBFBF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67" w:type="dxa"/>
            <w:shd w:val="clear" w:color="000000" w:fill="BFBFBF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输出功率因数</w:t>
            </w:r>
          </w:p>
        </w:tc>
        <w:tc>
          <w:tcPr>
            <w:tcW w:w="7914" w:type="dxa"/>
            <w:gridSpan w:val="3"/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49" w:type="dxa"/>
            <w:vMerge w:val="continue"/>
            <w:shd w:val="clear" w:color="000000" w:fill="BFBFBF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67" w:type="dxa"/>
            <w:shd w:val="clear" w:color="000000" w:fill="BFBFBF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电压精度</w:t>
            </w:r>
          </w:p>
        </w:tc>
        <w:tc>
          <w:tcPr>
            <w:tcW w:w="7914" w:type="dxa"/>
            <w:gridSpan w:val="3"/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±1.0%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49" w:type="dxa"/>
            <w:vMerge w:val="continue"/>
            <w:shd w:val="clear" w:color="000000" w:fill="BFBFBF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67" w:type="dxa"/>
            <w:shd w:val="clear" w:color="000000" w:fill="BFBFBF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输出动态响应</w:t>
            </w:r>
          </w:p>
        </w:tc>
        <w:tc>
          <w:tcPr>
            <w:tcW w:w="7914" w:type="dxa"/>
            <w:gridSpan w:val="3"/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&lt;5% (20% - 80% -20% 阶跃负载)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49" w:type="dxa"/>
            <w:vMerge w:val="continue"/>
            <w:shd w:val="clear" w:color="000000" w:fill="BFBFBF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67" w:type="dxa"/>
            <w:shd w:val="clear" w:color="000000" w:fill="BFBFBF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动态恢复时间</w:t>
            </w:r>
          </w:p>
        </w:tc>
        <w:tc>
          <w:tcPr>
            <w:tcW w:w="7914" w:type="dxa"/>
            <w:gridSpan w:val="3"/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&lt; 20ms (0% - 100% -0% 阶跃负载)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49" w:type="dxa"/>
            <w:vMerge w:val="continue"/>
            <w:shd w:val="clear" w:color="000000" w:fill="BFBFBF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67" w:type="dxa"/>
            <w:shd w:val="clear" w:color="000000" w:fill="BFBFBF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输出总谐波失真（THDu）</w:t>
            </w:r>
          </w:p>
        </w:tc>
        <w:tc>
          <w:tcPr>
            <w:tcW w:w="7914" w:type="dxa"/>
            <w:gridSpan w:val="3"/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&lt;1%（线性负载）,&lt;5.5% （非线性负载）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49" w:type="dxa"/>
            <w:vMerge w:val="continue"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67" w:type="dxa"/>
            <w:shd w:val="clear" w:color="000000" w:fill="BFBFBF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逆变器过载</w:t>
            </w:r>
          </w:p>
        </w:tc>
        <w:tc>
          <w:tcPr>
            <w:tcW w:w="7914" w:type="dxa"/>
            <w:gridSpan w:val="3"/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110%,1小时后转旁路；125%,10分钟后转旁路；150%,1分钟后转旁路；&gt;150%,200ms后转旁路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49" w:type="dxa"/>
            <w:vMerge w:val="continue"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67" w:type="dxa"/>
            <w:shd w:val="clear" w:color="000000" w:fill="BFBFBF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频率精度</w:t>
            </w:r>
          </w:p>
        </w:tc>
        <w:tc>
          <w:tcPr>
            <w:tcW w:w="7914" w:type="dxa"/>
            <w:gridSpan w:val="3"/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0.1%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49" w:type="dxa"/>
            <w:vMerge w:val="continue"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67" w:type="dxa"/>
            <w:shd w:val="clear" w:color="000000" w:fill="BFBFBF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跟踪范围</w:t>
            </w:r>
          </w:p>
        </w:tc>
        <w:tc>
          <w:tcPr>
            <w:tcW w:w="7914" w:type="dxa"/>
            <w:gridSpan w:val="3"/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可设置，±0.5Hz-±5Hz，默认±3Hz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49" w:type="dxa"/>
            <w:vMerge w:val="continue"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67" w:type="dxa"/>
            <w:shd w:val="clear" w:color="000000" w:fill="BFBFBF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跟踪速率</w:t>
            </w:r>
          </w:p>
        </w:tc>
        <w:tc>
          <w:tcPr>
            <w:tcW w:w="7914" w:type="dxa"/>
            <w:gridSpan w:val="3"/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可设置，0.5Hz/S-3Hz/S，默认0.5Hz/S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49" w:type="dxa"/>
            <w:vMerge w:val="continue"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67" w:type="dxa"/>
            <w:shd w:val="clear" w:color="000000" w:fill="BFBFBF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峰值比</w:t>
            </w:r>
          </w:p>
        </w:tc>
        <w:tc>
          <w:tcPr>
            <w:tcW w:w="7914" w:type="dxa"/>
            <w:gridSpan w:val="3"/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3:1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49" w:type="dxa"/>
            <w:vMerge w:val="continue"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67" w:type="dxa"/>
            <w:shd w:val="clear" w:color="000000" w:fill="BFBFBF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三相相位精度</w:t>
            </w:r>
          </w:p>
        </w:tc>
        <w:tc>
          <w:tcPr>
            <w:tcW w:w="7914" w:type="dxa"/>
            <w:gridSpan w:val="3"/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120°±0.5°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49" w:type="dxa"/>
            <w:vMerge w:val="restart"/>
            <w:shd w:val="clear" w:color="000000" w:fill="BFBFBF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系统</w:t>
            </w:r>
          </w:p>
        </w:tc>
        <w:tc>
          <w:tcPr>
            <w:tcW w:w="1867" w:type="dxa"/>
            <w:shd w:val="clear" w:color="000000" w:fill="BFBFBF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系统效率</w:t>
            </w:r>
          </w:p>
        </w:tc>
        <w:tc>
          <w:tcPr>
            <w:tcW w:w="7914" w:type="dxa"/>
            <w:gridSpan w:val="3"/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正常模式≥95%，经济模式≥99%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49" w:type="dxa"/>
            <w:vMerge w:val="continue"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67" w:type="dxa"/>
            <w:shd w:val="clear" w:color="000000" w:fill="BFBFBF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电池模式效率</w:t>
            </w:r>
          </w:p>
        </w:tc>
        <w:tc>
          <w:tcPr>
            <w:tcW w:w="7914" w:type="dxa"/>
            <w:gridSpan w:val="3"/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≥95%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49" w:type="dxa"/>
            <w:vMerge w:val="continue"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67" w:type="dxa"/>
            <w:shd w:val="clear" w:color="000000" w:fill="BFBFBF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显示</w:t>
            </w:r>
          </w:p>
        </w:tc>
        <w:tc>
          <w:tcPr>
            <w:tcW w:w="7914" w:type="dxa"/>
            <w:gridSpan w:val="3"/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LCD+LED,触摸屏+面板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49" w:type="dxa"/>
            <w:vMerge w:val="continue"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67" w:type="dxa"/>
            <w:shd w:val="clear" w:color="000000" w:fill="BFBFBF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语言</w:t>
            </w:r>
          </w:p>
        </w:tc>
        <w:tc>
          <w:tcPr>
            <w:tcW w:w="7914" w:type="dxa"/>
            <w:gridSpan w:val="3"/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支持多种语言，支持简体中文，繁体中文，英文，俄文，意大利文，西班牙文，德文、法文、韩文、葡萄牙文、土耳其文、捷克文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49" w:type="dxa"/>
            <w:vMerge w:val="continue"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67" w:type="dxa"/>
            <w:shd w:val="clear" w:color="000000" w:fill="BFBFBF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防护等级</w:t>
            </w:r>
          </w:p>
        </w:tc>
        <w:tc>
          <w:tcPr>
            <w:tcW w:w="7914" w:type="dxa"/>
            <w:gridSpan w:val="3"/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IP20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49" w:type="dxa"/>
            <w:vMerge w:val="continue"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67" w:type="dxa"/>
            <w:shd w:val="clear" w:color="000000" w:fill="BFBFBF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通信接口</w:t>
            </w:r>
          </w:p>
        </w:tc>
        <w:tc>
          <w:tcPr>
            <w:tcW w:w="7914" w:type="dxa"/>
            <w:gridSpan w:val="3"/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 xml:space="preserve">RS232,RS485,干接点,SNMP卡,EPO,发电机接口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49" w:type="dxa"/>
            <w:vMerge w:val="continue"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67" w:type="dxa"/>
            <w:shd w:val="clear" w:color="000000" w:fill="BFBFBF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运行温度</w:t>
            </w:r>
          </w:p>
        </w:tc>
        <w:tc>
          <w:tcPr>
            <w:tcW w:w="7914" w:type="dxa"/>
            <w:gridSpan w:val="3"/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0-40℃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49" w:type="dxa"/>
            <w:vMerge w:val="continue"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67" w:type="dxa"/>
            <w:shd w:val="clear" w:color="000000" w:fill="BFBFBF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存储温度</w:t>
            </w:r>
          </w:p>
        </w:tc>
        <w:tc>
          <w:tcPr>
            <w:tcW w:w="7914" w:type="dxa"/>
            <w:gridSpan w:val="3"/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-25℃～70℃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49" w:type="dxa"/>
            <w:vMerge w:val="continue"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67" w:type="dxa"/>
            <w:shd w:val="clear" w:color="000000" w:fill="BFBFBF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相对湿度</w:t>
            </w:r>
          </w:p>
        </w:tc>
        <w:tc>
          <w:tcPr>
            <w:tcW w:w="7914" w:type="dxa"/>
            <w:gridSpan w:val="3"/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0-95%(无凝露)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49" w:type="dxa"/>
            <w:vMerge w:val="continue"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67" w:type="dxa"/>
            <w:shd w:val="clear" w:color="000000" w:fill="BFBFBF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噪音(dB)</w:t>
            </w:r>
          </w:p>
        </w:tc>
        <w:tc>
          <w:tcPr>
            <w:tcW w:w="7914" w:type="dxa"/>
            <w:gridSpan w:val="3"/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&lt;66dB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49" w:type="dxa"/>
            <w:vMerge w:val="continue"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67" w:type="dxa"/>
            <w:shd w:val="clear" w:color="000000" w:fill="BFBFBF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选件</w:t>
            </w:r>
          </w:p>
        </w:tc>
        <w:tc>
          <w:tcPr>
            <w:tcW w:w="7914" w:type="dxa"/>
            <w:gridSpan w:val="3"/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SNMP网络通讯卡、防雷模块、电池温度补偿器、手机短信报警器、防尘网、双输入单元、抗震组件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49" w:type="dxa"/>
            <w:vMerge w:val="continue"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67" w:type="dxa"/>
            <w:shd w:val="clear" w:color="000000" w:fill="BFBFBF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机柜类型</w:t>
            </w:r>
          </w:p>
        </w:tc>
        <w:tc>
          <w:tcPr>
            <w:tcW w:w="2811" w:type="dxa"/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3模块机柜</w:t>
            </w:r>
          </w:p>
        </w:tc>
        <w:tc>
          <w:tcPr>
            <w:tcW w:w="2410" w:type="dxa"/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6模块机柜</w:t>
            </w:r>
          </w:p>
        </w:tc>
        <w:tc>
          <w:tcPr>
            <w:tcW w:w="2693" w:type="dxa"/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10模块机柜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49" w:type="dxa"/>
            <w:vMerge w:val="restart"/>
            <w:shd w:val="clear" w:color="000000" w:fill="BFBFBF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尺寸(W*D*H)mm</w:t>
            </w:r>
          </w:p>
        </w:tc>
        <w:tc>
          <w:tcPr>
            <w:tcW w:w="1867" w:type="dxa"/>
            <w:shd w:val="clear" w:color="000000" w:fill="BFBFBF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主机</w:t>
            </w:r>
          </w:p>
        </w:tc>
        <w:tc>
          <w:tcPr>
            <w:tcW w:w="2811" w:type="dxa"/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600*900*1100</w:t>
            </w:r>
          </w:p>
        </w:tc>
        <w:tc>
          <w:tcPr>
            <w:tcW w:w="2410" w:type="dxa"/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600*900*1600</w:t>
            </w:r>
          </w:p>
        </w:tc>
        <w:tc>
          <w:tcPr>
            <w:tcW w:w="2693" w:type="dxa"/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600*900*2000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1149" w:type="dxa"/>
            <w:vMerge w:val="continue"/>
            <w:shd w:val="clear" w:color="000000" w:fill="BFBFBF"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67" w:type="dxa"/>
            <w:shd w:val="clear" w:color="000000" w:fill="BFBFBF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模块</w:t>
            </w:r>
          </w:p>
        </w:tc>
        <w:tc>
          <w:tcPr>
            <w:tcW w:w="7914" w:type="dxa"/>
            <w:gridSpan w:val="3"/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440*590*134mm (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U)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49" w:type="dxa"/>
            <w:vMerge w:val="restart"/>
            <w:shd w:val="clear" w:color="000000" w:fill="BFBFBF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重量（kg）</w:t>
            </w:r>
          </w:p>
        </w:tc>
        <w:tc>
          <w:tcPr>
            <w:tcW w:w="1867" w:type="dxa"/>
            <w:shd w:val="clear" w:color="000000" w:fill="BFBFBF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主机（含模块）</w:t>
            </w:r>
          </w:p>
        </w:tc>
        <w:tc>
          <w:tcPr>
            <w:tcW w:w="2811" w:type="dxa"/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171</w:t>
            </w:r>
          </w:p>
        </w:tc>
        <w:tc>
          <w:tcPr>
            <w:tcW w:w="2410" w:type="dxa"/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 xml:space="preserve">277 </w:t>
            </w:r>
          </w:p>
        </w:tc>
        <w:tc>
          <w:tcPr>
            <w:tcW w:w="2693" w:type="dxa"/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 xml:space="preserve">399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49" w:type="dxa"/>
            <w:vMerge w:val="continue"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67" w:type="dxa"/>
            <w:shd w:val="clear" w:color="000000" w:fill="BFBFBF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模块</w:t>
            </w:r>
          </w:p>
        </w:tc>
        <w:tc>
          <w:tcPr>
            <w:tcW w:w="7914" w:type="dxa"/>
            <w:gridSpan w:val="3"/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MX-20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22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bookmarkEnd w:id="0"/>
    </w:tbl>
    <w:p>
      <w:pPr>
        <w:rPr>
          <w:rFonts w:hint="eastAsia" w:ascii="宋体" w:hAnsi="宋体" w:eastAsia="宋体" w:cs="宋体"/>
          <w:color w:val="000000" w:themeColor="text1"/>
          <w:sz w:val="16"/>
          <w:szCs w:val="16"/>
          <w:highlight w:val="yellow"/>
          <w14:textFill>
            <w14:solidFill>
              <w14:schemeClr w14:val="tx1"/>
            </w14:solidFill>
          </w14:textFill>
        </w:rPr>
      </w:pPr>
    </w:p>
    <w:p/>
    <w:p/>
    <w:p/>
    <w:p>
      <w:pPr>
        <w:rPr>
          <w:rFonts w:hint="eastAsia"/>
        </w:rPr>
      </w:pPr>
    </w:p>
    <w:p>
      <w:pPr>
        <w:spacing w:line="360" w:lineRule="auto"/>
        <w:jc w:val="left"/>
        <w:rPr>
          <w:rFonts w:hint="eastAsia" w:asciiTheme="minorEastAsia" w:hAnsiTheme="minorEastAsia" w:eastAsiaTheme="minorEastAsia" w:cstheme="minorBidi"/>
          <w:b/>
          <w:bCs/>
          <w:sz w:val="20"/>
          <w:szCs w:val="20"/>
          <w:lang w:val="en-US" w:eastAsia="zh-CN"/>
        </w:rPr>
      </w:pPr>
    </w:p>
    <w:p>
      <w:pPr>
        <w:spacing w:line="360" w:lineRule="auto"/>
        <w:jc w:val="left"/>
        <w:rPr>
          <w:rFonts w:hint="eastAsia" w:asciiTheme="minorEastAsia" w:hAnsiTheme="minorEastAsia" w:eastAsiaTheme="minorEastAsia" w:cstheme="minorBidi"/>
          <w:b/>
          <w:bCs/>
          <w:sz w:val="20"/>
          <w:szCs w:val="20"/>
          <w:lang w:val="en-US" w:eastAsia="zh-CN"/>
        </w:rPr>
      </w:pPr>
      <w:r>
        <w:rPr>
          <w:rFonts w:hint="eastAsia" w:asciiTheme="minorEastAsia" w:hAnsiTheme="minorEastAsia" w:eastAsiaTheme="minorEastAsia" w:cstheme="minorBidi"/>
          <w:b/>
          <w:bCs/>
          <w:sz w:val="20"/>
          <w:szCs w:val="20"/>
          <w:lang w:val="en-US" w:eastAsia="zh-CN"/>
        </w:rPr>
        <w:t>产品技术参数表（2）</w:t>
      </w:r>
    </w:p>
    <w:tbl>
      <w:tblPr>
        <w:tblStyle w:val="5"/>
        <w:tblW w:w="109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"/>
        <w:gridCol w:w="2003"/>
        <w:gridCol w:w="3017"/>
        <w:gridCol w:w="2803"/>
        <w:gridCol w:w="21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2949" w:type="dxa"/>
            <w:gridSpan w:val="2"/>
            <w:shd w:val="clear" w:color="000000" w:fill="00B050"/>
            <w:vAlign w:val="center"/>
          </w:tcPr>
          <w:p>
            <w:pPr>
              <w:widowControl/>
              <w:ind w:firstLine="964" w:firstLineChars="600"/>
              <w:jc w:val="both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规格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型号</w:t>
            </w:r>
          </w:p>
        </w:tc>
        <w:tc>
          <w:tcPr>
            <w:tcW w:w="3017" w:type="dxa"/>
            <w:shd w:val="clear" w:color="000000" w:fill="00B05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MX33180/30X</w:t>
            </w:r>
          </w:p>
        </w:tc>
        <w:tc>
          <w:tcPr>
            <w:tcW w:w="2803" w:type="dxa"/>
            <w:shd w:val="clear" w:color="000000" w:fill="00B05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 xml:space="preserve">MX33300/30X </w:t>
            </w:r>
          </w:p>
        </w:tc>
        <w:tc>
          <w:tcPr>
            <w:tcW w:w="2172" w:type="dxa"/>
            <w:shd w:val="clear" w:color="000000" w:fill="00B05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 xml:space="preserve">RM600/30X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exact"/>
          <w:jc w:val="center"/>
        </w:trPr>
        <w:tc>
          <w:tcPr>
            <w:tcW w:w="2949" w:type="dxa"/>
            <w:gridSpan w:val="2"/>
            <w:shd w:val="clear" w:color="auto" w:fill="BEBEBE" w:themeFill="background1" w:themeFillShade="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系统容量</w:t>
            </w:r>
          </w:p>
        </w:tc>
        <w:tc>
          <w:tcPr>
            <w:tcW w:w="3017" w:type="dxa"/>
            <w:shd w:val="clear" w:color="auto" w:fill="BEBEBE" w:themeFill="background1" w:themeFillShade="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180kVA</w:t>
            </w:r>
          </w:p>
        </w:tc>
        <w:tc>
          <w:tcPr>
            <w:tcW w:w="2803" w:type="dxa"/>
            <w:shd w:val="clear" w:color="auto" w:fill="BEBEBE" w:themeFill="background1" w:themeFillShade="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300kVA</w:t>
            </w:r>
          </w:p>
        </w:tc>
        <w:tc>
          <w:tcPr>
            <w:tcW w:w="2172" w:type="dxa"/>
            <w:shd w:val="clear" w:color="auto" w:fill="BEBEBE" w:themeFill="background1" w:themeFillShade="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600kVA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946" w:type="dxa"/>
            <w:vMerge w:val="restart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主路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输入</w:t>
            </w:r>
          </w:p>
        </w:tc>
        <w:tc>
          <w:tcPr>
            <w:tcW w:w="2003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额定输入电压</w:t>
            </w:r>
          </w:p>
        </w:tc>
        <w:tc>
          <w:tcPr>
            <w:tcW w:w="7992" w:type="dxa"/>
            <w:gridSpan w:val="3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380/400/415VAC (线电压)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946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03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额定频率</w:t>
            </w:r>
          </w:p>
        </w:tc>
        <w:tc>
          <w:tcPr>
            <w:tcW w:w="7992" w:type="dxa"/>
            <w:gridSpan w:val="3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50/60Hz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946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03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输入电压范围</w:t>
            </w:r>
          </w:p>
        </w:tc>
        <w:tc>
          <w:tcPr>
            <w:tcW w:w="7992" w:type="dxa"/>
            <w:gridSpan w:val="3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304～478VAC(线电压)满载；304～228VAC (线电压)负载从100%到75%之间线性降额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946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03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输入频率范围</w:t>
            </w:r>
          </w:p>
        </w:tc>
        <w:tc>
          <w:tcPr>
            <w:tcW w:w="7992" w:type="dxa"/>
            <w:gridSpan w:val="3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40～70Hz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946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03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输入功率因数</w:t>
            </w:r>
          </w:p>
        </w:tc>
        <w:tc>
          <w:tcPr>
            <w:tcW w:w="7992" w:type="dxa"/>
            <w:gridSpan w:val="3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&gt;0.99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946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03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电流畸变率</w:t>
            </w:r>
          </w:p>
        </w:tc>
        <w:tc>
          <w:tcPr>
            <w:tcW w:w="7992" w:type="dxa"/>
            <w:gridSpan w:val="3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THDi &lt;3% （100%线性负载）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946" w:type="dxa"/>
            <w:vMerge w:val="restart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电池</w:t>
            </w:r>
          </w:p>
        </w:tc>
        <w:tc>
          <w:tcPr>
            <w:tcW w:w="2003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电池额定电压</w:t>
            </w:r>
          </w:p>
        </w:tc>
        <w:tc>
          <w:tcPr>
            <w:tcW w:w="7992" w:type="dxa"/>
            <w:gridSpan w:val="3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±240VDC（32-44节可设置）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946" w:type="dxa"/>
            <w:vMerge w:val="continue"/>
            <w:shd w:val="clear" w:color="000000" w:fill="BFBFBF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03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充电电压精度</w:t>
            </w:r>
          </w:p>
        </w:tc>
        <w:tc>
          <w:tcPr>
            <w:tcW w:w="7992" w:type="dxa"/>
            <w:gridSpan w:val="3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±1%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946" w:type="dxa"/>
            <w:vMerge w:val="continue"/>
            <w:shd w:val="clear" w:color="000000" w:fill="BFBFBF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03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充电功率</w:t>
            </w:r>
          </w:p>
        </w:tc>
        <w:tc>
          <w:tcPr>
            <w:tcW w:w="7992" w:type="dxa"/>
            <w:gridSpan w:val="3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20%*有功功率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946" w:type="dxa"/>
            <w:vMerge w:val="restart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旁路</w:t>
            </w:r>
          </w:p>
        </w:tc>
        <w:tc>
          <w:tcPr>
            <w:tcW w:w="2003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旁路额定电压</w:t>
            </w:r>
          </w:p>
        </w:tc>
        <w:tc>
          <w:tcPr>
            <w:tcW w:w="7992" w:type="dxa"/>
            <w:gridSpan w:val="3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380/400/415VAC(线电压)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946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03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旁路额定频率</w:t>
            </w:r>
          </w:p>
        </w:tc>
        <w:tc>
          <w:tcPr>
            <w:tcW w:w="7992" w:type="dxa"/>
            <w:gridSpan w:val="3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50/60Hz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946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03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旁路电压范围</w:t>
            </w:r>
          </w:p>
        </w:tc>
        <w:tc>
          <w:tcPr>
            <w:tcW w:w="7992" w:type="dxa"/>
            <w:gridSpan w:val="3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可设置,  默认 -20%～+15%；上限: +10%, +15%, +20%, +25%；下限: -10%,  -15%, -20%, -30%,  -40%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946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03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旁路频率范围</w:t>
            </w:r>
          </w:p>
        </w:tc>
        <w:tc>
          <w:tcPr>
            <w:tcW w:w="7992" w:type="dxa"/>
            <w:gridSpan w:val="3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可设置 ±1Hz ±3Hz ±5Hz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946" w:type="dxa"/>
            <w:vMerge w:val="restart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输出</w:t>
            </w:r>
          </w:p>
        </w:tc>
        <w:tc>
          <w:tcPr>
            <w:tcW w:w="2003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额定输出电压</w:t>
            </w:r>
          </w:p>
        </w:tc>
        <w:tc>
          <w:tcPr>
            <w:tcW w:w="7992" w:type="dxa"/>
            <w:gridSpan w:val="3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380/400/415VAC  (线电压)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946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03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额定频率</w:t>
            </w:r>
          </w:p>
        </w:tc>
        <w:tc>
          <w:tcPr>
            <w:tcW w:w="7992" w:type="dxa"/>
            <w:gridSpan w:val="3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50/60Hz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946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03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输出功率因数</w:t>
            </w:r>
          </w:p>
        </w:tc>
        <w:tc>
          <w:tcPr>
            <w:tcW w:w="7992" w:type="dxa"/>
            <w:gridSpan w:val="3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:highlight w:val="yellow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946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03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电压精度</w:t>
            </w:r>
          </w:p>
        </w:tc>
        <w:tc>
          <w:tcPr>
            <w:tcW w:w="7992" w:type="dxa"/>
            <w:gridSpan w:val="3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±1.0%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946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03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输出动态响应</w:t>
            </w:r>
          </w:p>
        </w:tc>
        <w:tc>
          <w:tcPr>
            <w:tcW w:w="7992" w:type="dxa"/>
            <w:gridSpan w:val="3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&lt;5% (20% - 80% -20% 阶跃负载)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946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03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动态恢复时间</w:t>
            </w:r>
          </w:p>
        </w:tc>
        <w:tc>
          <w:tcPr>
            <w:tcW w:w="7992" w:type="dxa"/>
            <w:gridSpan w:val="3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&lt; 20ms (0% - 100% -0% 阶跃负载)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exact"/>
          <w:jc w:val="center"/>
        </w:trPr>
        <w:tc>
          <w:tcPr>
            <w:tcW w:w="946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03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输出总谐波失真（THDu）</w:t>
            </w:r>
          </w:p>
        </w:tc>
        <w:tc>
          <w:tcPr>
            <w:tcW w:w="7992" w:type="dxa"/>
            <w:gridSpan w:val="3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&lt;1%（线性负载）,&lt;5% （非线性负载）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946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03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逆变器过载</w:t>
            </w:r>
          </w:p>
        </w:tc>
        <w:tc>
          <w:tcPr>
            <w:tcW w:w="7992" w:type="dxa"/>
            <w:gridSpan w:val="3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&lt;110%, 1小时； 125%,10分钟； 150%,1分钟；&gt;150%,200ms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946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03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频率精度</w:t>
            </w:r>
          </w:p>
        </w:tc>
        <w:tc>
          <w:tcPr>
            <w:tcW w:w="7992" w:type="dxa"/>
            <w:gridSpan w:val="3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0.1%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946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03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跟踪范围</w:t>
            </w:r>
          </w:p>
        </w:tc>
        <w:tc>
          <w:tcPr>
            <w:tcW w:w="7992" w:type="dxa"/>
            <w:gridSpan w:val="3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可设置, ±0.5Hz ～ ±5Hz, 默认 ±3Hz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946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03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跟踪速率</w:t>
            </w:r>
          </w:p>
        </w:tc>
        <w:tc>
          <w:tcPr>
            <w:tcW w:w="7992" w:type="dxa"/>
            <w:gridSpan w:val="3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可设置, 0.5Hz/S ～ 3Hz/S, 默认 0.5Hz/S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946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03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峰值比</w:t>
            </w:r>
          </w:p>
        </w:tc>
        <w:tc>
          <w:tcPr>
            <w:tcW w:w="7992" w:type="dxa"/>
            <w:gridSpan w:val="3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3:1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946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03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三相相位精度</w:t>
            </w:r>
          </w:p>
        </w:tc>
        <w:tc>
          <w:tcPr>
            <w:tcW w:w="7992" w:type="dxa"/>
            <w:gridSpan w:val="3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120°±0.5°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946" w:type="dxa"/>
            <w:vMerge w:val="restart"/>
            <w:shd w:val="clear" w:color="000000" w:fill="BFBFB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系统</w:t>
            </w:r>
          </w:p>
        </w:tc>
        <w:tc>
          <w:tcPr>
            <w:tcW w:w="2003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主路模式</w:t>
            </w:r>
          </w:p>
        </w:tc>
        <w:tc>
          <w:tcPr>
            <w:tcW w:w="7992" w:type="dxa"/>
            <w:gridSpan w:val="3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≥95%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946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03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电池模式</w:t>
            </w:r>
          </w:p>
        </w:tc>
        <w:tc>
          <w:tcPr>
            <w:tcW w:w="7992" w:type="dxa"/>
            <w:gridSpan w:val="3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≥95%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946" w:type="dxa"/>
            <w:vMerge w:val="continue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03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显示</w:t>
            </w:r>
          </w:p>
        </w:tc>
        <w:tc>
          <w:tcPr>
            <w:tcW w:w="7992" w:type="dxa"/>
            <w:gridSpan w:val="3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LED + LCD + 彩色触摸屏10.4英寸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exact"/>
          <w:jc w:val="center"/>
        </w:trPr>
        <w:tc>
          <w:tcPr>
            <w:tcW w:w="946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03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语言</w:t>
            </w:r>
          </w:p>
        </w:tc>
        <w:tc>
          <w:tcPr>
            <w:tcW w:w="7992" w:type="dxa"/>
            <w:gridSpan w:val="3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支持多种语言，支持简体中文，繁体中文，英文，俄文，意大利文，西班牙文，德文、法文、韩文、葡萄牙文、土耳其文、捷克文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946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03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通信接口</w:t>
            </w:r>
          </w:p>
        </w:tc>
        <w:tc>
          <w:tcPr>
            <w:tcW w:w="7992" w:type="dxa"/>
            <w:gridSpan w:val="3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标准:RS232 RS485 USB 可编程干接点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946" w:type="dxa"/>
            <w:vMerge w:val="continue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03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防护等级</w:t>
            </w:r>
          </w:p>
        </w:tc>
        <w:tc>
          <w:tcPr>
            <w:tcW w:w="7992" w:type="dxa"/>
            <w:gridSpan w:val="3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IP20/IP21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946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03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工作温度</w:t>
            </w:r>
          </w:p>
        </w:tc>
        <w:tc>
          <w:tcPr>
            <w:tcW w:w="7992" w:type="dxa"/>
            <w:gridSpan w:val="3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 ～ 40 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946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03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存储温度</w:t>
            </w:r>
          </w:p>
        </w:tc>
        <w:tc>
          <w:tcPr>
            <w:tcW w:w="7992" w:type="dxa"/>
            <w:gridSpan w:val="3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-40℃～70℃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946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03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相对湿度</w:t>
            </w:r>
          </w:p>
        </w:tc>
        <w:tc>
          <w:tcPr>
            <w:tcW w:w="7992" w:type="dxa"/>
            <w:gridSpan w:val="3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0～95% 无凝露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946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03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噪声 (1米)</w:t>
            </w:r>
          </w:p>
        </w:tc>
        <w:tc>
          <w:tcPr>
            <w:tcW w:w="7992" w:type="dxa"/>
            <w:gridSpan w:val="3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65dB @ 100% 负载, 62dB @ 45% 负载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946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03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海拔高度</w:t>
            </w:r>
          </w:p>
        </w:tc>
        <w:tc>
          <w:tcPr>
            <w:tcW w:w="7992" w:type="dxa"/>
            <w:gridSpan w:val="3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&lt;1000m, 1000～2000米之间，每升高100米功率降额1%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946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03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选件</w:t>
            </w:r>
          </w:p>
        </w:tc>
        <w:tc>
          <w:tcPr>
            <w:tcW w:w="7992" w:type="dxa"/>
            <w:gridSpan w:val="3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SNMP网络通讯卡、防雷模块、电池温度补偿器、手机短信报警器、防尘网、抗震组件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946" w:type="dxa"/>
            <w:vMerge w:val="restart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尺寸(W*D*H)mm</w:t>
            </w:r>
          </w:p>
        </w:tc>
        <w:tc>
          <w:tcPr>
            <w:tcW w:w="2003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主机</w:t>
            </w:r>
          </w:p>
        </w:tc>
        <w:tc>
          <w:tcPr>
            <w:tcW w:w="3017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600*1100*1600</w:t>
            </w:r>
          </w:p>
        </w:tc>
        <w:tc>
          <w:tcPr>
            <w:tcW w:w="280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600*1100*2000</w:t>
            </w:r>
          </w:p>
        </w:tc>
        <w:tc>
          <w:tcPr>
            <w:tcW w:w="2172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2000*1050*2000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946" w:type="dxa"/>
            <w:vMerge w:val="continue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03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模块</w:t>
            </w:r>
          </w:p>
        </w:tc>
        <w:tc>
          <w:tcPr>
            <w:tcW w:w="7992" w:type="dxa"/>
            <w:gridSpan w:val="3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460*790*134mm (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U)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946" w:type="dxa"/>
            <w:vMerge w:val="restart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重量(kg) （含模块）</w:t>
            </w:r>
          </w:p>
        </w:tc>
        <w:tc>
          <w:tcPr>
            <w:tcW w:w="2003" w:type="dxa"/>
            <w:vMerge w:val="restart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主机(含模块)</w:t>
            </w:r>
          </w:p>
        </w:tc>
        <w:tc>
          <w:tcPr>
            <w:tcW w:w="3017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6模块机柜</w:t>
            </w:r>
          </w:p>
        </w:tc>
        <w:tc>
          <w:tcPr>
            <w:tcW w:w="280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10模块机柜</w:t>
            </w:r>
          </w:p>
        </w:tc>
        <w:tc>
          <w:tcPr>
            <w:tcW w:w="2172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20模块机柜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exact"/>
          <w:jc w:val="center"/>
        </w:trPr>
        <w:tc>
          <w:tcPr>
            <w:tcW w:w="946" w:type="dxa"/>
            <w:vMerge w:val="continue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03" w:type="dxa"/>
            <w:vMerge w:val="continue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17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382</w:t>
            </w:r>
          </w:p>
        </w:tc>
        <w:tc>
          <w:tcPr>
            <w:tcW w:w="280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582</w:t>
            </w:r>
          </w:p>
        </w:tc>
        <w:tc>
          <w:tcPr>
            <w:tcW w:w="2172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1340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946" w:type="dxa"/>
            <w:vMerge w:val="continue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03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模块</w:t>
            </w:r>
          </w:p>
        </w:tc>
        <w:tc>
          <w:tcPr>
            <w:tcW w:w="7992" w:type="dxa"/>
            <w:gridSpan w:val="3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MX-30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16"/>
                <w:szCs w:val="16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34）</w:t>
            </w:r>
          </w:p>
        </w:tc>
      </w:tr>
    </w:tbl>
    <w:p/>
    <w:sectPr>
      <w:pgSz w:w="11906" w:h="16838"/>
      <w:pgMar w:top="567" w:right="567" w:bottom="567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B6A"/>
    <w:rsid w:val="0000093C"/>
    <w:rsid w:val="000036FF"/>
    <w:rsid w:val="00037A9E"/>
    <w:rsid w:val="00042A37"/>
    <w:rsid w:val="00062DFC"/>
    <w:rsid w:val="000A7050"/>
    <w:rsid w:val="00121940"/>
    <w:rsid w:val="0019308A"/>
    <w:rsid w:val="001E5325"/>
    <w:rsid w:val="001F185C"/>
    <w:rsid w:val="00241CBB"/>
    <w:rsid w:val="002E50E9"/>
    <w:rsid w:val="0038720F"/>
    <w:rsid w:val="00395ED1"/>
    <w:rsid w:val="003C3DDF"/>
    <w:rsid w:val="00412B6A"/>
    <w:rsid w:val="00475BFB"/>
    <w:rsid w:val="0048617F"/>
    <w:rsid w:val="0051009A"/>
    <w:rsid w:val="00550FB6"/>
    <w:rsid w:val="005517FF"/>
    <w:rsid w:val="00561D4E"/>
    <w:rsid w:val="005732AE"/>
    <w:rsid w:val="005F4BB3"/>
    <w:rsid w:val="006166A4"/>
    <w:rsid w:val="00690562"/>
    <w:rsid w:val="00733691"/>
    <w:rsid w:val="00793848"/>
    <w:rsid w:val="007C0CCF"/>
    <w:rsid w:val="00804E54"/>
    <w:rsid w:val="0082750E"/>
    <w:rsid w:val="00844929"/>
    <w:rsid w:val="008B1BBF"/>
    <w:rsid w:val="008B5642"/>
    <w:rsid w:val="0091094E"/>
    <w:rsid w:val="009943BD"/>
    <w:rsid w:val="00A26326"/>
    <w:rsid w:val="00A638AB"/>
    <w:rsid w:val="00A63A8F"/>
    <w:rsid w:val="00AE19F2"/>
    <w:rsid w:val="00B027C6"/>
    <w:rsid w:val="00B068BF"/>
    <w:rsid w:val="00C15396"/>
    <w:rsid w:val="00C16EF3"/>
    <w:rsid w:val="00C8058B"/>
    <w:rsid w:val="00C91669"/>
    <w:rsid w:val="00CA3802"/>
    <w:rsid w:val="00CB716C"/>
    <w:rsid w:val="00CB721C"/>
    <w:rsid w:val="00D46294"/>
    <w:rsid w:val="00D54BEF"/>
    <w:rsid w:val="00E06F4F"/>
    <w:rsid w:val="00E72F10"/>
    <w:rsid w:val="00EE3CA7"/>
    <w:rsid w:val="00F06CDD"/>
    <w:rsid w:val="00F076C1"/>
    <w:rsid w:val="00F2032B"/>
    <w:rsid w:val="00FA1D6B"/>
    <w:rsid w:val="00FA666D"/>
    <w:rsid w:val="516F18CF"/>
    <w:rsid w:val="766B5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link w:val="9"/>
    <w:unhideWhenUsed/>
    <w:qFormat/>
    <w:uiPriority w:val="9"/>
    <w:pPr>
      <w:spacing w:before="260" w:after="260" w:line="415" w:lineRule="auto"/>
      <w:outlineLvl w:val="2"/>
    </w:pPr>
    <w:rPr>
      <w:rFonts w:eastAsia="微软雅黑"/>
      <w:b/>
      <w:bCs/>
      <w:sz w:val="44"/>
      <w:szCs w:val="32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6"/>
    <w:link w:val="4"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标题 3 字符"/>
    <w:basedOn w:val="6"/>
    <w:link w:val="2"/>
    <w:qFormat/>
    <w:uiPriority w:val="9"/>
    <w:rPr>
      <w:rFonts w:ascii="Calibri" w:hAnsi="Calibri" w:eastAsia="微软雅黑" w:cs="Times New Roman"/>
      <w:b/>
      <w:bCs/>
      <w:sz w:val="44"/>
      <w:szCs w:val="32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6B6B9AF-B33F-47BA-B30E-39B5D40D143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invt</Company>
  <Pages>4</Pages>
  <Words>443</Words>
  <Characters>2526</Characters>
  <Lines>21</Lines>
  <Paragraphs>5</Paragraphs>
  <TotalTime>2</TotalTime>
  <ScaleCrop>false</ScaleCrop>
  <LinksUpToDate>false</LinksUpToDate>
  <CharactersWithSpaces>2964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2018-06-04T03:51:00Z</dcterms:created>
  <dc:creator>唐微</dc:creator>
  <cp:lastModifiedBy>Tinkpad</cp:lastModifiedBy>
  <dcterms:modified xsi:type="dcterms:W3CDTF">2022-04-30T11:06:47Z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